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3C9A8A56" w:rsidR="00E0086F" w:rsidRPr="00ED6435" w:rsidRDefault="00FF4AAB" w:rsidP="00FF4AAB">
      <w:pPr>
        <w:pStyle w:val="Nzev"/>
        <w:tabs>
          <w:tab w:val="center" w:pos="4876"/>
          <w:tab w:val="right" w:pos="9753"/>
        </w:tabs>
        <w:jc w:val="left"/>
        <w:rPr>
          <w:rFonts w:ascii="Arial" w:hAnsi="Arial"/>
          <w:b w:val="0"/>
          <w:bCs w:val="0"/>
          <w:szCs w:val="22"/>
        </w:rPr>
      </w:pPr>
      <w:r>
        <w:rPr>
          <w:rFonts w:ascii="Arial" w:hAnsi="Arial"/>
          <w:szCs w:val="22"/>
        </w:rPr>
        <w:tab/>
      </w:r>
      <w:r w:rsidR="00E0086F" w:rsidRPr="00ED6435">
        <w:rPr>
          <w:rFonts w:ascii="Arial" w:hAnsi="Arial"/>
          <w:szCs w:val="22"/>
        </w:rPr>
        <w:t>SMLOUVA O DÍLO</w:t>
      </w:r>
      <w:r>
        <w:rPr>
          <w:rFonts w:ascii="Arial" w:hAnsi="Arial"/>
          <w:szCs w:val="22"/>
        </w:rPr>
        <w:tab/>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8DAE0C5" w14:textId="77777777" w:rsidR="00021715" w:rsidRPr="00ED6435" w:rsidRDefault="00021715" w:rsidP="00021715">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Pr>
          <w:rFonts w:ascii="Arial" w:hAnsi="Arial" w:cs="Arial"/>
        </w:rPr>
        <w:t xml:space="preserve"> Liberecký kraj</w:t>
      </w:r>
      <w:r w:rsidRPr="00ED6435">
        <w:rPr>
          <w:rFonts w:ascii="Arial" w:hAnsi="Arial" w:cs="Arial"/>
          <w:snapToGrid w:val="0"/>
        </w:rPr>
        <w:t xml:space="preserve">, na adrese </w:t>
      </w:r>
      <w:r>
        <w:rPr>
          <w:rFonts w:ascii="Arial" w:hAnsi="Arial" w:cs="Arial"/>
          <w:snapToGrid w:val="0"/>
        </w:rPr>
        <w:t>U Nisy 745/6a, 460 57 Liberec</w:t>
      </w:r>
      <w:r w:rsidRPr="00ED6435">
        <w:rPr>
          <w:rFonts w:ascii="Arial" w:hAnsi="Arial" w:cs="Arial"/>
          <w:snapToGrid w:val="0"/>
        </w:rPr>
        <w:t>.</w:t>
      </w:r>
      <w:r w:rsidRPr="00ED6435">
        <w:rPr>
          <w:rFonts w:ascii="Arial" w:hAnsi="Arial" w:cs="Arial"/>
        </w:rPr>
        <w:t xml:space="preserve"> </w:t>
      </w:r>
    </w:p>
    <w:p w14:paraId="346AE71A" w14:textId="0430A498" w:rsidR="004104D6" w:rsidRDefault="00021715" w:rsidP="004104D6">
      <w:pPr>
        <w:spacing w:after="0"/>
        <w:ind w:left="567"/>
        <w:rPr>
          <w:rFonts w:ascii="Arial" w:hAnsi="Arial" w:cs="Arial"/>
        </w:rPr>
      </w:pPr>
      <w:r w:rsidRPr="00ED6435">
        <w:rPr>
          <w:rFonts w:ascii="Arial" w:hAnsi="Arial" w:cs="Arial"/>
        </w:rPr>
        <w:t xml:space="preserve">Zastoupená: </w:t>
      </w:r>
      <w:r w:rsidR="004104D6">
        <w:rPr>
          <w:rFonts w:ascii="Arial" w:hAnsi="Arial" w:cs="Arial"/>
        </w:rPr>
        <w:tab/>
      </w:r>
      <w:r>
        <w:rPr>
          <w:rFonts w:ascii="Arial" w:hAnsi="Arial" w:cs="Arial"/>
        </w:rPr>
        <w:t>Ing. Bohuslavem Kabátkem,</w:t>
      </w:r>
      <w:r w:rsidR="004104D6">
        <w:rPr>
          <w:rFonts w:ascii="Arial" w:hAnsi="Arial" w:cs="Arial"/>
        </w:rPr>
        <w:t xml:space="preserve"> </w:t>
      </w:r>
      <w:r>
        <w:rPr>
          <w:rFonts w:ascii="Arial" w:hAnsi="Arial" w:cs="Arial"/>
        </w:rPr>
        <w:t>ředitele</w:t>
      </w:r>
      <w:r>
        <w:rPr>
          <w:rFonts w:ascii="Arial" w:hAnsi="Arial" w:cs="Arial"/>
        </w:rPr>
        <w:t>m</w:t>
      </w:r>
      <w:r>
        <w:rPr>
          <w:rFonts w:ascii="Arial" w:hAnsi="Arial" w:cs="Arial"/>
        </w:rPr>
        <w:t xml:space="preserve"> K</w:t>
      </w:r>
      <w:r w:rsidR="00FE21EF">
        <w:rPr>
          <w:rFonts w:ascii="Arial" w:hAnsi="Arial" w:cs="Arial"/>
        </w:rPr>
        <w:t>rajského pozemkového úřadu</w:t>
      </w:r>
    </w:p>
    <w:p w14:paraId="5FEDB9B6" w14:textId="61C096ED" w:rsidR="00021715" w:rsidRPr="00ED6435" w:rsidRDefault="00021715" w:rsidP="004104D6">
      <w:pPr>
        <w:spacing w:after="0"/>
        <w:ind w:left="1985" w:firstLine="142"/>
        <w:rPr>
          <w:rFonts w:ascii="Arial" w:hAnsi="Arial" w:cs="Arial"/>
        </w:rPr>
      </w:pPr>
      <w:r>
        <w:rPr>
          <w:rFonts w:ascii="Arial" w:hAnsi="Arial" w:cs="Arial"/>
        </w:rPr>
        <w:t>pro Liberecký kraj</w:t>
      </w:r>
      <w:r w:rsidRPr="00ED6435">
        <w:rPr>
          <w:rFonts w:ascii="Arial" w:hAnsi="Arial" w:cs="Arial"/>
          <w:iCs/>
        </w:rPr>
        <w:t xml:space="preserve"> </w:t>
      </w:r>
    </w:p>
    <w:p w14:paraId="3DFA5448" w14:textId="77777777" w:rsidR="00021715" w:rsidRDefault="00021715" w:rsidP="00021715">
      <w:pPr>
        <w:spacing w:after="60" w:line="240" w:lineRule="auto"/>
        <w:ind w:left="567"/>
        <w:jc w:val="both"/>
        <w:rPr>
          <w:rFonts w:ascii="Arial" w:hAnsi="Arial" w:cs="Arial"/>
        </w:rPr>
      </w:pPr>
      <w:r w:rsidRPr="00ED6435">
        <w:rPr>
          <w:rFonts w:ascii="Arial" w:hAnsi="Arial" w:cs="Arial"/>
        </w:rPr>
        <w:t xml:space="preserve">Ve smluvních záležitostech zastoupená: </w:t>
      </w:r>
      <w:r>
        <w:rPr>
          <w:rFonts w:ascii="Arial" w:hAnsi="Arial" w:cs="Arial"/>
        </w:rPr>
        <w:tab/>
        <w:t xml:space="preserve">Ing. Bohuslavem Kabátkem, </w:t>
      </w:r>
    </w:p>
    <w:p w14:paraId="47802DD7" w14:textId="77777777" w:rsidR="00021715" w:rsidRPr="00ED6435" w:rsidRDefault="00021715" w:rsidP="00021715">
      <w:pPr>
        <w:spacing w:after="60" w:line="240" w:lineRule="auto"/>
        <w:ind w:left="4821" w:firstLine="142"/>
        <w:jc w:val="both"/>
        <w:rPr>
          <w:rFonts w:ascii="Arial" w:hAnsi="Arial" w:cs="Arial"/>
        </w:rPr>
      </w:pPr>
      <w:r>
        <w:rPr>
          <w:rFonts w:ascii="Arial" w:hAnsi="Arial" w:cs="Arial"/>
        </w:rPr>
        <w:t>ředitelem KPÚ pro Liberecký kraj</w:t>
      </w:r>
    </w:p>
    <w:p w14:paraId="1B6B6939" w14:textId="77777777" w:rsidR="00021715" w:rsidRDefault="00021715" w:rsidP="00021715">
      <w:pPr>
        <w:tabs>
          <w:tab w:val="left" w:pos="4536"/>
        </w:tabs>
        <w:spacing w:after="60" w:line="240" w:lineRule="auto"/>
        <w:ind w:left="567"/>
        <w:jc w:val="both"/>
        <w:rPr>
          <w:rFonts w:ascii="Arial" w:hAnsi="Arial" w:cs="Arial"/>
          <w:snapToGrid w:val="0"/>
        </w:rPr>
      </w:pPr>
      <w:r w:rsidRPr="00ED6435">
        <w:rPr>
          <w:rFonts w:ascii="Arial" w:hAnsi="Arial" w:cs="Arial"/>
        </w:rPr>
        <w:t>V technických záležitostech zastoupená:</w:t>
      </w:r>
      <w:r>
        <w:rPr>
          <w:rFonts w:ascii="Arial" w:hAnsi="Arial" w:cs="Arial"/>
          <w:snapToGrid w:val="0"/>
        </w:rPr>
        <w:tab/>
      </w:r>
      <w:r>
        <w:rPr>
          <w:rFonts w:ascii="Arial" w:hAnsi="Arial" w:cs="Arial"/>
          <w:snapToGrid w:val="0"/>
        </w:rPr>
        <w:tab/>
        <w:t>Ing. Tomášem Mačkem,</w:t>
      </w:r>
    </w:p>
    <w:p w14:paraId="02B07A91" w14:textId="77777777" w:rsidR="00021715" w:rsidRDefault="00021715" w:rsidP="00021715">
      <w:pPr>
        <w:tabs>
          <w:tab w:val="left" w:pos="4536"/>
        </w:tabs>
        <w:spacing w:after="60" w:line="240" w:lineRule="auto"/>
        <w:ind w:left="567"/>
        <w:jc w:val="both"/>
        <w:rPr>
          <w:rFonts w:ascii="Arial" w:hAnsi="Arial" w:cs="Arial"/>
          <w:snapToGrid w:val="0"/>
        </w:rPr>
      </w:pPr>
      <w:r>
        <w:rPr>
          <w:rFonts w:ascii="Arial" w:hAnsi="Arial" w:cs="Arial"/>
          <w:snapToGrid w:val="0"/>
        </w:rPr>
        <w:tab/>
      </w:r>
      <w:r>
        <w:rPr>
          <w:rFonts w:ascii="Arial" w:hAnsi="Arial" w:cs="Arial"/>
          <w:snapToGrid w:val="0"/>
        </w:rPr>
        <w:tab/>
        <w:t>vedoucím Pobočky Liberec</w:t>
      </w:r>
    </w:p>
    <w:p w14:paraId="475AAB65" w14:textId="77777777" w:rsidR="00021715" w:rsidRPr="00ED6435" w:rsidRDefault="00021715" w:rsidP="00021715">
      <w:pPr>
        <w:tabs>
          <w:tab w:val="left" w:pos="4536"/>
        </w:tabs>
        <w:spacing w:after="60" w:line="240" w:lineRule="auto"/>
        <w:ind w:left="567"/>
        <w:jc w:val="both"/>
        <w:rPr>
          <w:rFonts w:ascii="Arial" w:hAnsi="Arial" w:cs="Arial"/>
        </w:rPr>
      </w:pPr>
      <w:r>
        <w:rPr>
          <w:rFonts w:ascii="Arial" w:hAnsi="Arial" w:cs="Arial"/>
          <w:snapToGrid w:val="0"/>
        </w:rPr>
        <w:tab/>
      </w:r>
      <w:r>
        <w:rPr>
          <w:rFonts w:ascii="Arial" w:hAnsi="Arial" w:cs="Arial"/>
          <w:snapToGrid w:val="0"/>
        </w:rPr>
        <w:tab/>
        <w:t>Ing. Petrem Skalickým, Pobočka Liberec</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8B733FA" w14:textId="53EC6CD3" w:rsidR="0074172B" w:rsidRDefault="0074172B" w:rsidP="0074172B">
      <w:pPr>
        <w:tabs>
          <w:tab w:val="left" w:pos="4536"/>
        </w:tabs>
        <w:spacing w:after="120"/>
        <w:ind w:left="567"/>
        <w:contextualSpacing/>
        <w:jc w:val="both"/>
        <w:rPr>
          <w:rFonts w:ascii="Arial" w:hAnsi="Arial" w:cs="Arial"/>
        </w:rPr>
      </w:pPr>
      <w:r>
        <w:rPr>
          <w:rFonts w:ascii="Arial" w:hAnsi="Arial" w:cs="Arial"/>
        </w:rPr>
        <w:t>Tel.: +420 725 548</w:t>
      </w:r>
      <w:r w:rsidR="00E46597">
        <w:rPr>
          <w:rFonts w:ascii="Arial" w:hAnsi="Arial" w:cs="Arial"/>
        </w:rPr>
        <w:t> </w:t>
      </w:r>
      <w:r>
        <w:rPr>
          <w:rFonts w:ascii="Arial" w:hAnsi="Arial" w:cs="Arial"/>
        </w:rPr>
        <w:t>197</w:t>
      </w:r>
      <w:r w:rsidR="00E46597">
        <w:rPr>
          <w:rFonts w:ascii="Arial" w:hAnsi="Arial" w:cs="Arial"/>
        </w:rPr>
        <w:t xml:space="preserve">, </w:t>
      </w:r>
    </w:p>
    <w:p w14:paraId="3751CB39" w14:textId="77777777" w:rsidR="0074172B" w:rsidRDefault="0074172B" w:rsidP="0074172B">
      <w:pPr>
        <w:tabs>
          <w:tab w:val="left" w:pos="4536"/>
        </w:tabs>
        <w:spacing w:after="0"/>
        <w:ind w:left="567"/>
        <w:contextualSpacing/>
        <w:jc w:val="both"/>
        <w:rPr>
          <w:rFonts w:ascii="Arial" w:hAnsi="Arial" w:cs="Arial"/>
        </w:rPr>
      </w:pPr>
      <w:r>
        <w:rPr>
          <w:rFonts w:ascii="Arial" w:hAnsi="Arial" w:cs="Arial"/>
        </w:rPr>
        <w:t>E-mail:</w:t>
      </w:r>
      <w:r>
        <w:rPr>
          <w:rFonts w:ascii="Arial" w:hAnsi="Arial" w:cs="Arial"/>
          <w:snapToGrid w:val="0"/>
        </w:rPr>
        <w:t xml:space="preserve"> t.macek@spucr.cz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Číslo účtu:</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DIČ:</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CEC285B"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Pr="00764100">
        <w:rPr>
          <w:rFonts w:ascii="Arial" w:hAnsi="Arial" w:cs="Arial"/>
          <w:b/>
          <w:bCs/>
        </w:rPr>
        <w:t>Komplexní pozemkové úpravy</w:t>
      </w:r>
      <w:r w:rsidR="00853FD9">
        <w:rPr>
          <w:rFonts w:ascii="Arial" w:hAnsi="Arial" w:cs="Arial"/>
          <w:b/>
          <w:bCs/>
        </w:rPr>
        <w:t xml:space="preserve"> v </w:t>
      </w:r>
      <w:proofErr w:type="spellStart"/>
      <w:r w:rsidR="00853FD9">
        <w:rPr>
          <w:rFonts w:ascii="Arial" w:hAnsi="Arial" w:cs="Arial"/>
          <w:b/>
          <w:bCs/>
        </w:rPr>
        <w:t>k.ú</w:t>
      </w:r>
      <w:proofErr w:type="spellEnd"/>
      <w:r w:rsidR="00853FD9">
        <w:rPr>
          <w:rFonts w:ascii="Arial" w:hAnsi="Arial" w:cs="Arial"/>
          <w:b/>
          <w:bCs/>
        </w:rPr>
        <w:t>. Dolní Vítkov</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ECABDF0"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853FD9">
        <w:rPr>
          <w:rFonts w:ascii="Arial" w:hAnsi="Arial" w:cs="Arial"/>
        </w:rPr>
        <w:t>ř</w:t>
      </w:r>
      <w:r w:rsidR="00073E29" w:rsidRPr="00764100">
        <w:rPr>
          <w:rFonts w:ascii="Arial" w:hAnsi="Arial" w:cs="Arial"/>
        </w:rPr>
        <w:t xml:space="preserve">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BF35A8C"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3D226C">
        <w:rPr>
          <w:rFonts w:ascii="Arial" w:hAnsi="Arial" w:cs="Arial"/>
          <w:b/>
          <w:bCs/>
          <w:szCs w:val="22"/>
        </w:rPr>
        <w:t>v </w:t>
      </w:r>
      <w:proofErr w:type="spellStart"/>
      <w:r w:rsidR="003D226C">
        <w:rPr>
          <w:rFonts w:ascii="Arial" w:hAnsi="Arial" w:cs="Arial"/>
          <w:b/>
          <w:bCs/>
          <w:szCs w:val="22"/>
        </w:rPr>
        <w:t>k.ú</w:t>
      </w:r>
      <w:proofErr w:type="spellEnd"/>
      <w:r w:rsidR="003D226C">
        <w:rPr>
          <w:rFonts w:ascii="Arial" w:hAnsi="Arial" w:cs="Arial"/>
          <w:b/>
          <w:bCs/>
          <w:szCs w:val="22"/>
        </w:rPr>
        <w:t>. Dolní Vítkov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105766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3D226C">
        <w:rPr>
          <w:rFonts w:ascii="Arial" w:hAnsi="Arial" w:cs="Arial"/>
        </w:rPr>
        <w:t xml:space="preserve">Dolní Vítkov </w:t>
      </w:r>
      <w:r w:rsidRPr="00ED6435">
        <w:rPr>
          <w:rFonts w:ascii="Arial" w:hAnsi="Arial" w:cs="Arial"/>
        </w:rPr>
        <w:t xml:space="preserve"> </w:t>
      </w:r>
      <w:r w:rsidR="00EC7CD5">
        <w:rPr>
          <w:rFonts w:ascii="Arial" w:hAnsi="Arial" w:cs="Arial"/>
        </w:rPr>
        <w:t xml:space="preserve">                 </w:t>
      </w:r>
      <w:r w:rsidR="00451B0B">
        <w:rPr>
          <w:rFonts w:ascii="Arial" w:hAnsi="Arial" w:cs="Arial"/>
        </w:rPr>
        <w:t>a v navazující části katastrálního území Dolní Chrastava</w:t>
      </w:r>
      <w:r w:rsidR="00451B0B"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D1A5DD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47275">
        <w:rPr>
          <w:rFonts w:ascii="Arial" w:hAnsi="Arial" w:cs="Arial"/>
          <w:szCs w:val="22"/>
        </w:rPr>
        <w:t>Krajský pozemkový úřad pro Liberecký kraj, Pobočka Liberec, U Nisy 745/6a, 460 57 Liberec.</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vztahujícími se k předmětu Díla, zejména s příslušnými ustanovení zákona č. 139/2002 Sb., </w:t>
      </w:r>
      <w:r w:rsidRPr="00ED6435">
        <w:rPr>
          <w:rFonts w:ascii="Arial" w:hAnsi="Arial" w:cs="Arial"/>
          <w:szCs w:val="22"/>
        </w:rPr>
        <w:lastRenderedPageBreak/>
        <w:t>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4EC654C" w:rsidR="0008597D" w:rsidRPr="009060BB" w:rsidRDefault="00CC4042" w:rsidP="0008597D">
      <w:pPr>
        <w:pStyle w:val="Level2"/>
        <w:spacing w:line="240" w:lineRule="auto"/>
        <w:ind w:left="567" w:hanging="567"/>
        <w:jc w:val="both"/>
        <w:rPr>
          <w:rFonts w:ascii="Arial" w:hAnsi="Arial" w:cs="Arial"/>
          <w:szCs w:val="22"/>
        </w:rPr>
      </w:pPr>
      <w:bookmarkStart w:id="37" w:name="_Ref50747173"/>
      <w:bookmarkStart w:id="38" w:name="_Hlk63750513"/>
      <w:r w:rsidRPr="00CC4042">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4B5E9118" w:rsidR="00B022EF" w:rsidRPr="009060BB" w:rsidRDefault="00CC4042"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CC4042">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w:t>
      </w:r>
      <w:r w:rsidRPr="00764100">
        <w:rPr>
          <w:rFonts w:ascii="Arial" w:hAnsi="Arial" w:cs="Arial"/>
        </w:rPr>
        <w:lastRenderedPageBreak/>
        <w:t>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A93428">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456B3F2" w:rsidR="006B518C" w:rsidRPr="00764100" w:rsidRDefault="00A93428"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Pr>
          <w:rFonts w:ascii="Arial" w:hAnsi="Arial" w:cs="Arial"/>
          <w:b/>
          <w:bCs/>
        </w:rPr>
        <w:t>NENÍ PŘEDMĚTEM TÉTO SMLOUVY</w:t>
      </w:r>
      <w:r>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lastRenderedPageBreak/>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349537A9" w:rsidR="00F821DF" w:rsidRPr="00764100" w:rsidRDefault="00E12049" w:rsidP="00C643A6">
      <w:pPr>
        <w:pStyle w:val="Level3"/>
        <w:tabs>
          <w:tab w:val="clear" w:pos="2041"/>
        </w:tabs>
        <w:ind w:left="1418"/>
        <w:jc w:val="both"/>
        <w:rPr>
          <w:rFonts w:ascii="Arial" w:hAnsi="Arial" w:cs="Arial"/>
          <w:szCs w:val="22"/>
        </w:rPr>
      </w:pPr>
      <w:bookmarkStart w:id="66" w:name="_Ref64278899"/>
      <w:r>
        <w:rPr>
          <w:rFonts w:ascii="Arial" w:hAnsi="Arial" w:cs="Arial"/>
          <w:b/>
          <w:bCs/>
        </w:rPr>
        <w:t>NENÍ PŘEDMĚTEM TÉTO SMLOUVY</w:t>
      </w:r>
      <w:r>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6"/>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w:t>
      </w:r>
      <w:r w:rsidRPr="00764100">
        <w:rPr>
          <w:rFonts w:ascii="Arial" w:hAnsi="Arial" w:cs="Arial"/>
        </w:rPr>
        <w:lastRenderedPageBreak/>
        <w:t xml:space="preserve">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w:t>
      </w:r>
      <w:r w:rsidRPr="00764100">
        <w:rPr>
          <w:rFonts w:ascii="Arial" w:hAnsi="Arial" w:cs="Arial"/>
        </w:rPr>
        <w:lastRenderedPageBreak/>
        <w:t xml:space="preserve">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 xml:space="preserve">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w:t>
      </w:r>
      <w:r w:rsidRPr="00764100">
        <w:rPr>
          <w:rFonts w:ascii="Arial" w:hAnsi="Arial" w:cs="Arial"/>
          <w:szCs w:val="22"/>
        </w:rPr>
        <w:lastRenderedPageBreak/>
        <w:t>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1578E99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00EF18A7">
        <w:rPr>
          <w:rFonts w:ascii="Arial" w:hAnsi="Arial" w:cs="Arial"/>
        </w:rPr>
        <w:t xml:space="preserve">            </w:t>
      </w:r>
      <w:r w:rsidRPr="00EE517F">
        <w:rPr>
          <w:rFonts w:ascii="Arial" w:hAnsi="Arial" w:cs="Arial"/>
        </w:rPr>
        <w:t>a</w:t>
      </w:r>
      <w:r w:rsidR="00EF18A7">
        <w:rPr>
          <w:rFonts w:ascii="Arial" w:hAnsi="Arial" w:cs="Arial"/>
        </w:rPr>
        <w:t xml:space="preserve">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4D6C238"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w:t>
      </w:r>
      <w:r w:rsidR="00EF18A7">
        <w:rPr>
          <w:rFonts w:ascii="Arial" w:hAnsi="Arial" w:cs="Arial"/>
        </w:rPr>
        <w:t xml:space="preserve">                    </w:t>
      </w:r>
      <w:r w:rsidR="00BC0A8A" w:rsidRPr="00EE517F">
        <w:rPr>
          <w:rFonts w:ascii="Arial" w:hAnsi="Arial" w:cs="Arial"/>
        </w:rPr>
        <w:t xml:space="preserve">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0B4A4DB8"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EF18A7">
        <w:rPr>
          <w:rFonts w:ascii="Arial" w:hAnsi="Arial" w:cs="Arial"/>
        </w:rPr>
        <w:t xml:space="preserve">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lastRenderedPageBreak/>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3F73A6">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 xml:space="preserve">Zhotovitel je povinen při zhotovení Díla </w:t>
      </w:r>
      <w:r w:rsidR="00363385" w:rsidRPr="00C62699">
        <w:rPr>
          <w:rFonts w:ascii="Arial" w:hAnsi="Arial" w:cs="Arial"/>
          <w:szCs w:val="22"/>
        </w:rPr>
        <w:lastRenderedPageBreak/>
        <w:t>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E3A59E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E3A9E" w:rsidRPr="00C62699">
        <w:rPr>
          <w:rFonts w:ascii="Arial" w:hAnsi="Arial" w:cs="Arial"/>
          <w:szCs w:val="22"/>
        </w:rPr>
        <w:t xml:space="preserve">Pobočky </w:t>
      </w:r>
      <w:r w:rsidR="001E3A9E">
        <w:rPr>
          <w:rFonts w:ascii="Arial" w:hAnsi="Arial" w:cs="Arial"/>
          <w:szCs w:val="22"/>
        </w:rPr>
        <w:t>Liberec</w:t>
      </w:r>
      <w:r w:rsidR="001E3A9E" w:rsidRPr="00C62699">
        <w:rPr>
          <w:rFonts w:ascii="Arial" w:hAnsi="Arial" w:cs="Arial"/>
          <w:szCs w:val="22"/>
        </w:rPr>
        <w:t>,</w:t>
      </w:r>
      <w:r w:rsidR="001E3A9E">
        <w:rPr>
          <w:rFonts w:ascii="Arial" w:hAnsi="Arial" w:cs="Arial"/>
          <w:szCs w:val="22"/>
        </w:rPr>
        <w:t xml:space="preserve"> adresa:</w:t>
      </w:r>
      <w:r w:rsidR="001E3A9E" w:rsidRPr="00C62699">
        <w:rPr>
          <w:rFonts w:ascii="Arial" w:hAnsi="Arial" w:cs="Arial"/>
          <w:szCs w:val="22"/>
        </w:rPr>
        <w:t xml:space="preserve"> </w:t>
      </w:r>
      <w:r w:rsidR="001E3A9E">
        <w:rPr>
          <w:rFonts w:ascii="Arial" w:hAnsi="Arial" w:cs="Arial"/>
          <w:szCs w:val="22"/>
        </w:rPr>
        <w:t>U Nisy 745/6a, 460 57 Liberec</w:t>
      </w:r>
      <w:r w:rsidR="001E3A9E" w:rsidRPr="00C62699">
        <w:rPr>
          <w:rFonts w:ascii="Arial" w:hAnsi="Arial" w:cs="Arial"/>
          <w:szCs w:val="22"/>
        </w:rPr>
        <w:t xml:space="preserve">. </w:t>
      </w:r>
      <w:r w:rsidR="004C712A" w:rsidRPr="00C62699">
        <w:rPr>
          <w:rFonts w:ascii="Arial" w:hAnsi="Arial" w:cs="Arial"/>
          <w:szCs w:val="22"/>
        </w:rPr>
        <w:t>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lastRenderedPageBreak/>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C936525" w:rsidR="001C4DD2" w:rsidRPr="00764100" w:rsidRDefault="008D56A6" w:rsidP="00024EBF">
      <w:pPr>
        <w:pStyle w:val="Level4"/>
        <w:numPr>
          <w:ilvl w:val="0"/>
          <w:numId w:val="17"/>
        </w:numPr>
        <w:spacing w:line="240" w:lineRule="auto"/>
        <w:ind w:left="1134" w:hanging="567"/>
        <w:jc w:val="both"/>
        <w:rPr>
          <w:rFonts w:ascii="Arial" w:hAnsi="Arial" w:cs="Arial"/>
          <w:szCs w:val="22"/>
        </w:rPr>
      </w:pPr>
      <w:r>
        <w:rPr>
          <w:rFonts w:ascii="Arial" w:hAnsi="Arial" w:cs="Arial"/>
          <w:b/>
          <w:bCs/>
        </w:rPr>
        <w:t>NENÍ PŘEDMĚTEM TÉTO SMLOUVY</w:t>
      </w:r>
      <w:r w:rsidR="0019629C">
        <w:rPr>
          <w:rFonts w:ascii="Arial" w:hAnsi="Arial" w:cs="Arial"/>
          <w:b/>
          <w:bCs/>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CDA577A" w:rsidR="0090447A" w:rsidRPr="00764100" w:rsidRDefault="0019629C" w:rsidP="00024EBF">
      <w:pPr>
        <w:pStyle w:val="Level4"/>
        <w:numPr>
          <w:ilvl w:val="0"/>
          <w:numId w:val="17"/>
        </w:numPr>
        <w:spacing w:line="240" w:lineRule="auto"/>
        <w:ind w:left="1134" w:hanging="567"/>
        <w:jc w:val="both"/>
        <w:rPr>
          <w:rFonts w:ascii="Arial" w:hAnsi="Arial" w:cs="Arial"/>
          <w:szCs w:val="22"/>
        </w:rPr>
      </w:pPr>
      <w:r>
        <w:rPr>
          <w:rFonts w:ascii="Arial" w:hAnsi="Arial" w:cs="Arial"/>
          <w:b/>
          <w:bCs/>
        </w:rPr>
        <w:t>NENÍ PŘEDMĚTEM TÉTO SMLOUVY</w:t>
      </w:r>
      <w:r>
        <w:rPr>
          <w:rFonts w:ascii="Arial" w:hAnsi="Arial" w:cs="Arial"/>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_Ref64278899 \r \h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6.2.6</w:t>
      </w:r>
      <w:r w:rsidR="0090447A" w:rsidRPr="00764100">
        <w:rPr>
          <w:rFonts w:ascii="Arial" w:hAnsi="Arial" w:cs="Arial"/>
          <w:szCs w:val="22"/>
        </w:rPr>
        <w:fldChar w:fldCharType="end"/>
      </w:r>
      <w:r w:rsidR="0090447A" w:rsidRPr="00764100">
        <w:rPr>
          <w:rFonts w:ascii="Arial" w:hAnsi="Arial" w:cs="Arial"/>
          <w:szCs w:val="22"/>
        </w:rPr>
        <w:t xml:space="preserve"> (</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w:t>
      </w:r>
      <w:r w:rsidRPr="00C62699">
        <w:rPr>
          <w:rFonts w:ascii="Arial" w:hAnsi="Arial" w:cs="Arial"/>
          <w:szCs w:val="22"/>
        </w:rPr>
        <w:lastRenderedPageBreak/>
        <w:t>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w:t>
      </w:r>
      <w:r w:rsidR="00462F18" w:rsidRPr="00ED6435">
        <w:rPr>
          <w:rFonts w:ascii="Arial" w:hAnsi="Arial" w:cs="Arial"/>
          <w:szCs w:val="22"/>
        </w:rPr>
        <w:lastRenderedPageBreak/>
        <w:t xml:space="preserve">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w:t>
      </w:r>
      <w:r w:rsidRPr="00ED6435">
        <w:rPr>
          <w:rFonts w:ascii="Arial" w:hAnsi="Arial" w:cs="Arial"/>
          <w:szCs w:val="22"/>
        </w:rPr>
        <w:lastRenderedPageBreak/>
        <w:t>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350D44FA"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FA0A5E">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6CA35BE1"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w:t>
      </w:r>
      <w:r w:rsidR="00E75011">
        <w:rPr>
          <w:rFonts w:ascii="Arial" w:hAnsi="Arial" w:cs="Arial"/>
          <w:szCs w:val="22"/>
        </w:rPr>
        <w:t xml:space="preserve">                 </w:t>
      </w:r>
      <w:r w:rsidRPr="00ED6435">
        <w:rPr>
          <w:rFonts w:ascii="Arial" w:hAnsi="Arial" w:cs="Arial"/>
          <w:szCs w:val="22"/>
        </w:rPr>
        <w:t xml:space="preserve">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 xml:space="preserve">anebo nedodrží-li Zhotovitel jiný termín </w:t>
      </w:r>
      <w:r w:rsidR="00B005D6" w:rsidRPr="00032278">
        <w:rPr>
          <w:rFonts w:ascii="Arial" w:hAnsi="Arial" w:cs="Arial"/>
        </w:rPr>
        <w:lastRenderedPageBreak/>
        <w:t>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090B1F8"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CE5E00">
        <w:rPr>
          <w:rFonts w:ascii="Arial" w:hAnsi="Arial" w:cs="Arial"/>
          <w:szCs w:val="22"/>
        </w:rPr>
        <w:t>10</w:t>
      </w:r>
      <w:r w:rsidRPr="00C62699">
        <w:rPr>
          <w:rFonts w:ascii="Arial" w:hAnsi="Arial" w:cs="Arial"/>
          <w:szCs w:val="22"/>
        </w:rPr>
        <w:t xml:space="preserve"> % Ceny Díla bez DPH.</w:t>
      </w:r>
      <w:bookmarkEnd w:id="160"/>
      <w:r w:rsidR="0039121C">
        <w:rPr>
          <w:rFonts w:ascii="Arial" w:hAnsi="Arial" w:cs="Arial"/>
          <w:szCs w:val="22"/>
        </w:rPr>
        <w:t xml:space="preserve"> Do této hodnoty </w:t>
      </w:r>
      <w:r w:rsidR="00CE5E00">
        <w:rPr>
          <w:rFonts w:ascii="Arial" w:hAnsi="Arial" w:cs="Arial"/>
          <w:szCs w:val="22"/>
        </w:rPr>
        <w:t xml:space="preserve">                           </w:t>
      </w:r>
      <w:r w:rsidR="0039121C">
        <w:rPr>
          <w:rFonts w:ascii="Arial" w:hAnsi="Arial" w:cs="Arial"/>
          <w:szCs w:val="22"/>
        </w:rPr>
        <w:t xml:space="preserve">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lastRenderedPageBreak/>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6781C7E" w14:textId="17C60E74" w:rsidR="00226532" w:rsidRPr="00FF3545" w:rsidRDefault="00FF3545" w:rsidP="00FF3545">
      <w:pPr>
        <w:spacing w:before="480"/>
        <w:jc w:val="center"/>
        <w:rPr>
          <w:rFonts w:ascii="Arial" w:hAnsi="Arial" w:cs="Arial"/>
          <w:b/>
          <w:sz w:val="20"/>
          <w:szCs w:val="20"/>
          <w:u w:val="single"/>
        </w:rPr>
      </w:pPr>
      <w:r w:rsidRPr="00DE44C9">
        <w:rPr>
          <w:rFonts w:ascii="Arial" w:hAnsi="Arial" w:cs="Arial"/>
          <w:i/>
          <w:iCs/>
          <w:sz w:val="20"/>
          <w:szCs w:val="20"/>
        </w:rPr>
        <w:t>bude doplněno před podpisem smlouvy</w:t>
      </w:r>
    </w:p>
    <w:sectPr w:rsidR="00226532" w:rsidRPr="00FF3545" w:rsidSect="009B021E">
      <w:headerReference w:type="default" r:id="rId13"/>
      <w:footerReference w:type="default" r:id="rId14"/>
      <w:headerReference w:type="first" r:id="rId15"/>
      <w:pgSz w:w="11907" w:h="16839" w:code="9"/>
      <w:pgMar w:top="1418" w:right="1077" w:bottom="1135" w:left="1077" w:header="284" w:footer="7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A59FC" w14:textId="77777777" w:rsidR="00887998" w:rsidRDefault="00887998" w:rsidP="007936E4">
      <w:pPr>
        <w:spacing w:after="0"/>
      </w:pPr>
      <w:r>
        <w:separator/>
      </w:r>
    </w:p>
  </w:endnote>
  <w:endnote w:type="continuationSeparator" w:id="0">
    <w:p w14:paraId="71984A22" w14:textId="77777777" w:rsidR="00887998" w:rsidRDefault="00887998" w:rsidP="007936E4">
      <w:pPr>
        <w:spacing w:after="0"/>
      </w:pPr>
      <w:r>
        <w:continuationSeparator/>
      </w:r>
    </w:p>
  </w:endnote>
  <w:endnote w:type="continuationNotice" w:id="1">
    <w:p w14:paraId="74147B5E" w14:textId="77777777" w:rsidR="00887998" w:rsidRDefault="0088799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C4896" w14:textId="77777777" w:rsidR="00887998" w:rsidRDefault="00887998" w:rsidP="007936E4">
      <w:pPr>
        <w:spacing w:after="0"/>
      </w:pPr>
      <w:r>
        <w:separator/>
      </w:r>
    </w:p>
  </w:footnote>
  <w:footnote w:type="continuationSeparator" w:id="0">
    <w:p w14:paraId="2F105502" w14:textId="77777777" w:rsidR="00887998" w:rsidRDefault="00887998" w:rsidP="007936E4">
      <w:pPr>
        <w:spacing w:after="0"/>
      </w:pPr>
      <w:r>
        <w:continuationSeparator/>
      </w:r>
    </w:p>
  </w:footnote>
  <w:footnote w:type="continuationNotice" w:id="1">
    <w:p w14:paraId="4D80759C" w14:textId="77777777" w:rsidR="00887998" w:rsidRDefault="0088799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629A2" w14:textId="09E6B6BC" w:rsidR="0083596B"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3596B">
      <w:rPr>
        <w:szCs w:val="16"/>
      </w:rPr>
      <w:t>Dolní Vítkov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467E4" w14:textId="77777777" w:rsidR="008C1775" w:rsidRDefault="008C1775" w:rsidP="008C1775">
    <w:pPr>
      <w:pStyle w:val="Zhlav"/>
      <w:pBdr>
        <w:bottom w:val="single" w:sz="6" w:space="1" w:color="auto"/>
      </w:pBdr>
      <w:tabs>
        <w:tab w:val="clear" w:pos="4703"/>
        <w:tab w:val="clear" w:pos="9406"/>
        <w:tab w:val="left" w:pos="4536"/>
      </w:tabs>
      <w:spacing w:before="120" w:after="80" w:line="240" w:lineRule="auto"/>
      <w:jc w:val="both"/>
      <w:rPr>
        <w:rFonts w:cs="Arial"/>
        <w:szCs w:val="16"/>
        <w:lang w:val="fr-FR" w:eastAsia="cs-CZ"/>
      </w:rPr>
    </w:pPr>
    <w:r w:rsidRPr="00087106">
      <w:rPr>
        <w:rFonts w:cs="Arial"/>
        <w:i/>
        <w:iCs/>
        <w:sz w:val="20"/>
        <w:szCs w:val="20"/>
        <w:lang w:val="fr-FR" w:eastAsia="cs-CZ"/>
      </w:rPr>
      <w:t>Příloha č. 2 Zadávací dokumentace</w:t>
    </w: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28224C74" w14:textId="1172C6B4" w:rsidR="008C1775" w:rsidRPr="001D4BED" w:rsidRDefault="008C1775" w:rsidP="00FF4AAB">
    <w:pPr>
      <w:pStyle w:val="Zhlav"/>
      <w:pBdr>
        <w:bottom w:val="single" w:sz="6" w:space="1" w:color="auto"/>
      </w:pBdr>
      <w:tabs>
        <w:tab w:val="clear" w:pos="4703"/>
        <w:tab w:val="clear" w:pos="9406"/>
        <w:tab w:val="left" w:pos="570"/>
        <w:tab w:val="left" w:pos="4536"/>
      </w:tabs>
      <w:spacing w:before="120" w:after="80" w:line="240" w:lineRule="auto"/>
      <w:jc w:val="both"/>
      <w:rPr>
        <w:rFonts w:cs="Arial"/>
        <w:szCs w:val="16"/>
        <w:lang w:val="fr-FR" w:eastAsia="cs-CZ"/>
      </w:rPr>
    </w:pPr>
    <w:r w:rsidRPr="001D4BED">
      <w:rPr>
        <w:rFonts w:cs="Arial"/>
        <w:szCs w:val="16"/>
        <w:lang w:val="fr-FR" w:eastAsia="cs-CZ"/>
      </w:rPr>
      <w:tab/>
    </w:r>
    <w:r w:rsidR="00FF4AAB">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p>
  <w:p w14:paraId="6F75F815" w14:textId="7FF888EB" w:rsidR="00043079" w:rsidRPr="001D4BED" w:rsidRDefault="008C1775" w:rsidP="008C1775">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FF4AAB">
      <w:rPr>
        <w:rFonts w:cs="Arial"/>
        <w:szCs w:val="16"/>
        <w:lang w:val="fr-FR" w:eastAsia="cs-CZ"/>
      </w:rPr>
      <w:t xml:space="preserve"> Dolní Vítkov</w:t>
    </w:r>
    <w:r w:rsidR="00043079" w:rsidRPr="00E0086F">
      <w:rPr>
        <w:rFonts w:cs="Arial"/>
        <w:sz w:val="20"/>
        <w:szCs w:val="20"/>
        <w:lang w:val="fr-FR" w:eastAsia="cs-CZ"/>
      </w:rPr>
      <w:tab/>
    </w:r>
    <w:r w:rsidR="00043079" w:rsidRPr="00E0086F">
      <w:rPr>
        <w:rFonts w:cs="Arial"/>
        <w:sz w:val="20"/>
        <w:szCs w:val="20"/>
        <w:lang w:val="fr-FR" w:eastAsia="cs-CZ"/>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B76"/>
    <w:rsid w:val="00012F3E"/>
    <w:rsid w:val="0001351E"/>
    <w:rsid w:val="0001397B"/>
    <w:rsid w:val="00015425"/>
    <w:rsid w:val="0001592E"/>
    <w:rsid w:val="0001701D"/>
    <w:rsid w:val="0001770C"/>
    <w:rsid w:val="00017F4E"/>
    <w:rsid w:val="000205F9"/>
    <w:rsid w:val="00020623"/>
    <w:rsid w:val="00020FE5"/>
    <w:rsid w:val="00021146"/>
    <w:rsid w:val="00021715"/>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07ED"/>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29C"/>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3A9E"/>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35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2A8A"/>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6ACA"/>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26C"/>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3F73A6"/>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04D6"/>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B0B"/>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385"/>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172B"/>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596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3FD9"/>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998"/>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775"/>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56A6"/>
    <w:rsid w:val="008D60F8"/>
    <w:rsid w:val="008D743C"/>
    <w:rsid w:val="008E0443"/>
    <w:rsid w:val="008E1285"/>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21E"/>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428"/>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A7F"/>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275"/>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4C6A"/>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042"/>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5E00"/>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DAB"/>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049"/>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6597"/>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1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B7B39"/>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C7CD5"/>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18A7"/>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A5E"/>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1EF"/>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545"/>
    <w:rsid w:val="00FF3750"/>
    <w:rsid w:val="00FF3A30"/>
    <w:rsid w:val="00FF4AAB"/>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171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2171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2171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34</Pages>
  <Words>17178</Words>
  <Characters>101355</Characters>
  <Application>Microsoft Office Word</Application>
  <DocSecurity>0</DocSecurity>
  <Lines>844</Lines>
  <Paragraphs>236</Paragraphs>
  <ScaleCrop>false</ScaleCrop>
  <Company/>
  <LinksUpToDate>false</LinksUpToDate>
  <CharactersWithSpaces>118297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Hejtmánková Věra</cp:lastModifiedBy>
  <cp:revision>32</cp:revision>
  <cp:lastPrinted>2023-06-15T08:04:00Z</cp:lastPrinted>
  <dcterms:created xsi:type="dcterms:W3CDTF">2023-08-11T06:40:00Z</dcterms:created>
  <dcterms:modified xsi:type="dcterms:W3CDTF">2023-08-11T07:36:00Z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